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00"/>
        </w:tabs>
        <w:jc w:val="center"/>
        <w:rPr>
          <w:b w:val="1"/>
          <w:sz w:val="22"/>
          <w:szCs w:val="22"/>
        </w:rPr>
      </w:pPr>
      <w:bookmarkStart w:colFirst="0" w:colLast="0" w:name="_heading=h.ycb9953eesxy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PROGRAMMA SVOLTO e INDICAZIONI PER IL RECUPERO</w:t>
      </w:r>
    </w:p>
    <w:p w:rsidR="00000000" w:rsidDel="00000000" w:rsidP="00000000" w:rsidRDefault="00000000" w:rsidRPr="00000000" w14:paraId="00000002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00"/>
        </w:tabs>
        <w:jc w:val="left"/>
        <w:rPr/>
      </w:pPr>
      <w:r w:rsidDel="00000000" w:rsidR="00000000" w:rsidRPr="00000000">
        <w:rPr>
          <w:rtl w:val="0"/>
        </w:rPr>
        <w:t xml:space="preserve">  Docenti MARIA CRISTINA TESTA                                                                                                          A.S. 2024/25</w:t>
      </w:r>
    </w:p>
    <w:p w:rsidR="00000000" w:rsidDel="00000000" w:rsidP="00000000" w:rsidRDefault="00000000" w:rsidRPr="00000000" w14:paraId="00000004">
      <w:pPr>
        <w:tabs>
          <w:tab w:val="left" w:leader="none" w:pos="6300"/>
        </w:tabs>
        <w:jc w:val="left"/>
        <w:rPr>
          <w:b w:val="1"/>
        </w:rPr>
      </w:pPr>
      <w:r w:rsidDel="00000000" w:rsidR="00000000" w:rsidRPr="00000000">
        <w:rPr>
          <w:rtl w:val="0"/>
        </w:rPr>
        <w:t xml:space="preserve">  Disciplina SCIENZE                                                                                                                                Classe  2</w:t>
      </w:r>
      <w:r w:rsidDel="00000000" w:rsidR="00000000" w:rsidRPr="00000000">
        <w:rPr>
          <w:b w:val="1"/>
          <w:rtl w:val="0"/>
        </w:rPr>
        <w:t xml:space="preserve"> EM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MODIFICHE ALLA PROGRAMMAZIONI INIZIALE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(riportare dalla relazione finale disciplina)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1) UNITÀ’ DI APPRENDIMENTO PROGRAMMATE A INIZIO ANNO MA NON AFFRONTATE, CON LE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TUTTE LE UNITA’ SONO STATE TRATTATE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2) MODIFICHE ALLE UNITÀ’ DI APPRENDIMENTO AFFRONTATE 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LE UNITÀ NON SONO STATE MODIFICATE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CONOSCENZE / CONTENUTI SVILUPPATI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PRIMO PERIODO</w:t>
      </w:r>
    </w:p>
    <w:tbl>
      <w:tblPr>
        <w:tblStyle w:val="Table3"/>
        <w:tblW w:w="988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3105"/>
        <w:gridCol w:w="3450"/>
        <w:tblGridChange w:id="0">
          <w:tblGrid>
            <w:gridCol w:w="3330"/>
            <w:gridCol w:w="3105"/>
            <w:gridCol w:w="3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rHeight w:val="3756.2499999999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 caratteristiche dei viventi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L'origine della vita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La classificazione dei viventi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Ecologia: gli ecosistemi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da pag. 2  a pag.10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da pag. 14 a pag. 18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da pag. 38 a  pag. 58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da pag. 100 a pag. 105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  <w:t xml:space="preserve">SECONDO PERIODO</w:t>
      </w:r>
    </w:p>
    <w:tbl>
      <w:tblPr>
        <w:tblStyle w:val="Table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3549"/>
        <w:gridCol w:w="3429"/>
        <w:tblGridChange w:id="0">
          <w:tblGrid>
            <w:gridCol w:w="2876"/>
            <w:gridCol w:w="3549"/>
            <w:gridCol w:w="34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La cellula eucariote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L'organismo  umano: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apparato tegumentario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apparato respiratorio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apparato gastrointestinale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da pag. 128 a pag. 1</w:t>
            </w: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8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4A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da pag. 252 a 259</w:t>
            </w:r>
          </w:p>
          <w:p w:rsidR="00000000" w:rsidDel="00000000" w:rsidP="00000000" w:rsidRDefault="00000000" w:rsidRPr="00000000" w14:paraId="0000004B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da pag. 304 a pag. 313</w:t>
            </w:r>
          </w:p>
          <w:p w:rsidR="00000000" w:rsidDel="00000000" w:rsidP="00000000" w:rsidRDefault="00000000" w:rsidRPr="00000000" w14:paraId="0000004D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Castellanza, 22 giugno 2025</w:t>
        <w:tab/>
        <w:t xml:space="preserve">Firma del docente</w:t>
      </w:r>
    </w:p>
    <w:p w:rsidR="00000000" w:rsidDel="00000000" w:rsidP="00000000" w:rsidRDefault="00000000" w:rsidRPr="00000000" w14:paraId="00000053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MARIA CRISTINA TESTA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417.3228346456694" w:left="1133.8582677165355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bookmarkStart w:colFirst="0" w:colLast="0" w:name="_heading=h.j0gn8kfqiyrz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Via Azimonti n°5 – 21053 Castellanza   +39 0331 635718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C.F. 81009250127 - Codice Meccanografico VAIS01900E - C.U.U.: UF6U6C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https://isisfacchinetti.edu.it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-50799</wp:posOffset>
              </wp:positionV>
              <wp:extent cx="3886958" cy="1172722"/>
              <wp:effectExtent b="0" l="0" r="0" t="0"/>
              <wp:wrapNone/>
              <wp:docPr id="16212302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02500" y="3193625"/>
                        <a:ext cx="3886958" cy="1172722"/>
                        <a:chOff x="3402500" y="3193625"/>
                        <a:chExt cx="3887000" cy="1172750"/>
                      </a:xfrm>
                    </wpg:grpSpPr>
                    <wpg:grpSp>
                      <wpg:cNvGrpSpPr/>
                      <wpg:grpSpPr>
                        <a:xfrm>
                          <a:off x="3402521" y="3193639"/>
                          <a:ext cx="3886958" cy="1172722"/>
                          <a:chOff x="3402500" y="3193625"/>
                          <a:chExt cx="3887000" cy="11727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402500" y="3193625"/>
                            <a:ext cx="3887000" cy="117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402521" y="3193639"/>
                            <a:ext cx="3886958" cy="1172722"/>
                            <a:chOff x="3402500" y="3193625"/>
                            <a:chExt cx="3887000" cy="1172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402500" y="3193625"/>
                              <a:ext cx="3887000" cy="117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02521" y="3193639"/>
                              <a:ext cx="3886958" cy="1172722"/>
                              <a:chOff x="3402500" y="3193625"/>
                              <a:chExt cx="3887000" cy="11727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402500" y="3193625"/>
                                <a:ext cx="3887000" cy="117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402521" y="3193639"/>
                                <a:ext cx="3886958" cy="1172722"/>
                                <a:chOff x="3402500" y="3193625"/>
                                <a:chExt cx="3887000" cy="11727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3402500" y="3193625"/>
                                  <a:ext cx="3887000" cy="1172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402521" y="3193639"/>
                                  <a:ext cx="3886958" cy="1172722"/>
                                  <a:chOff x="3402500" y="3193625"/>
                                  <a:chExt cx="3887000" cy="117275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402500" y="3193625"/>
                                    <a:ext cx="3887000" cy="117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402521" y="3193639"/>
                                    <a:ext cx="3886958" cy="1172722"/>
                                    <a:chOff x="0" y="0"/>
                                    <a:chExt cx="3886958" cy="1172722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3886950" cy="117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30232" l="0" r="0" t="18082"/>
                                    <a:stretch/>
                                  </pic:blipFill>
                                  <pic:spPr>
                                    <a:xfrm>
                                      <a:off x="0" y="575187"/>
                                      <a:ext cx="113728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C:\Users\valerio.valentino\AppData\Local\Microsoft\Windows\INetCache\Content.MSO\3A4EB3D7.tmp" id="15" name="Shape 15"/>
                                    <pic:cNvPicPr preferRelativeResize="0"/>
                                  </pic:nvPicPr>
                                  <pic:blipFill rotWithShape="1">
                                    <a:blip r:embed="rId2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988142" y="0"/>
                                      <a:ext cx="2080260" cy="762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C:\Documents and Settings\preside.itis\Impostazioni locali\Temp\Academy2cRGB_94x89.gif" id="16" name="Shape 16"/>
                                    <pic:cNvPicPr preferRelativeResize="0"/>
                                  </pic:nvPicPr>
                                  <pic:blipFill rotWithShape="1">
                                    <a:blip r:embed="rId3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3311013" y="612058"/>
                                      <a:ext cx="575945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-50799</wp:posOffset>
              </wp:positionV>
              <wp:extent cx="3886958" cy="1172722"/>
              <wp:effectExtent b="0" l="0" r="0" t="0"/>
              <wp:wrapNone/>
              <wp:docPr id="16212302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958" cy="1172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7444"/>
        <w:tab w:val="left" w:leader="none" w:pos="9816"/>
      </w:tabs>
      <w:spacing w:after="0" w:before="120" w:line="288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Istituto Statale Istruzione Superiore</w:t>
      <w:tab/>
      <w:tab/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4677"/>
        <w:tab w:val="left" w:leader="none" w:pos="6876"/>
        <w:tab w:val="left" w:leader="none" w:pos="7285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Cipriano FACCHINETTI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left" w:leader="none" w:pos="810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Tecnica -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MECCANICA E MECCATRONICA - ENERGIA - INFORMATICA E TELECOMUNICAZIONI – SISTEMA MODA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CHIMICA DEI MATERIALI - BIOTECNOLOGIE AMBIENTALI - COSTRUZIONI, AMBIENTE E TERRITORIO – AUTOMAZIONE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Professionale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MANUTENZIONE E ASSISTENZA TECNICA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e Formazione Professionale (IeFP)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OPERATORE ALLA RIPARAZIONE DI VEICOLI A MOTORE – OPERATORE INFORMATICO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839B1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6A1FD7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6A1FD7"/>
    <w:pPr>
      <w:keepNext w:val="1"/>
      <w:keepLines w:val="1"/>
      <w:spacing w:before="4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 w:val="1"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 w:val="1"/>
    <w:rsid w:val="006A1FD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sisfacchinetti.edu.it" TargetMode="External"/><Relationship Id="rId2" Type="http://schemas.openxmlformats.org/officeDocument/2006/relationships/hyperlink" Target="mailto:vais01900e@istruzione.it" TargetMode="External"/><Relationship Id="rId3" Type="http://schemas.openxmlformats.org/officeDocument/2006/relationships/hyperlink" Target="mailto:vais01900e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FhQK8K2kbPB+qgpTmAzpTll5Q==">CgMxLjAyDmgueWNiOTk1M2Vlc3h5Mg5oLmowZ244a2ZxaXlyejgAciExOW03eF91VVkyZWJFUGlQdmg2V2k0VENaclpkZVMzZUI=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2025-06-20T08:13:00Z</dcterms:created>
  <dc:creator>Jessica Olgiati</dc:creator>
</cp:coreProperties>
</file>